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22" w:rsidRDefault="009A7C71">
      <w:pPr>
        <w:pStyle w:val="a3"/>
        <w:spacing w:before="68"/>
        <w:ind w:left="6538"/>
      </w:pPr>
      <w:bookmarkStart w:id="0" w:name="_GoBack"/>
      <w:bookmarkEnd w:id="0"/>
      <w:r>
        <w:rPr>
          <w:spacing w:val="-2"/>
        </w:rPr>
        <w:t>ПРИЛОЖЕНИЕ</w:t>
      </w:r>
    </w:p>
    <w:p w:rsidR="00200B22" w:rsidRDefault="009A7C71">
      <w:pPr>
        <w:pStyle w:val="a3"/>
        <w:tabs>
          <w:tab w:val="left" w:pos="7360"/>
          <w:tab w:val="left" w:pos="9307"/>
        </w:tabs>
        <w:ind w:left="5563" w:right="526" w:hanging="219"/>
      </w:pPr>
      <w:r>
        <w:t>к</w:t>
      </w:r>
      <w:r>
        <w:rPr>
          <w:spacing w:val="-13"/>
        </w:rPr>
        <w:t xml:space="preserve"> </w:t>
      </w:r>
      <w:r>
        <w:t>письму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 xml:space="preserve">образования и науки Нижегородской области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200B22" w:rsidRDefault="00200B22">
      <w:pPr>
        <w:pStyle w:val="a3"/>
        <w:spacing w:before="161"/>
      </w:pPr>
    </w:p>
    <w:p w:rsidR="00200B22" w:rsidRDefault="009A7C71">
      <w:pPr>
        <w:spacing w:line="360" w:lineRule="auto"/>
        <w:ind w:left="2426" w:right="886" w:hanging="1545"/>
        <w:jc w:val="both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дорожно-транспортных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происшествиях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участием несовершеннолетних за 12 месяцев 2025 г.</w:t>
      </w:r>
    </w:p>
    <w:p w:rsidR="00200B22" w:rsidRDefault="009A7C71">
      <w:pPr>
        <w:pStyle w:val="a3"/>
        <w:spacing w:line="360" w:lineRule="auto"/>
        <w:ind w:left="141" w:right="142" w:firstLine="709"/>
        <w:jc w:val="both"/>
      </w:pPr>
      <w:r>
        <w:rPr>
          <w:b/>
        </w:rPr>
        <w:t xml:space="preserve">По итогам двенадцати месяцев 2025 года </w:t>
      </w:r>
      <w:r>
        <w:t>на т</w:t>
      </w:r>
      <w:r>
        <w:t>ерритории региона зарегистрировано снижение всех основных показателей аварийности. Число ДТП снизилось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4,2%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547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524),</w:t>
      </w:r>
      <w:r>
        <w:rPr>
          <w:spacing w:val="40"/>
        </w:rPr>
        <w:t xml:space="preserve"> </w:t>
      </w:r>
      <w:r>
        <w:t>погибло</w:t>
      </w:r>
      <w:r>
        <w:rPr>
          <w:spacing w:val="40"/>
        </w:rPr>
        <w:t xml:space="preserve"> </w:t>
      </w:r>
      <w:r>
        <w:t>восемь</w:t>
      </w:r>
      <w:r>
        <w:rPr>
          <w:spacing w:val="40"/>
        </w:rPr>
        <w:t xml:space="preserve"> </w:t>
      </w:r>
      <w:r>
        <w:t>несовершеннолетних (+14,3%, с 7 до 8), число пострадавших снизилось на 6,4% (с 621 до 581).</w:t>
      </w:r>
    </w:p>
    <w:p w:rsidR="00200B22" w:rsidRDefault="009A7C71">
      <w:pPr>
        <w:pStyle w:val="a3"/>
        <w:spacing w:line="360" w:lineRule="auto"/>
        <w:ind w:left="141" w:right="146" w:firstLine="709"/>
        <w:jc w:val="both"/>
      </w:pPr>
      <w:proofErr w:type="gramStart"/>
      <w:r>
        <w:t>Рост</w:t>
      </w:r>
      <w:r>
        <w:rPr>
          <w:spacing w:val="40"/>
        </w:rPr>
        <w:t xml:space="preserve">  </w:t>
      </w:r>
      <w:r>
        <w:t>дорожно</w:t>
      </w:r>
      <w:proofErr w:type="gramEnd"/>
      <w:r>
        <w:t>-транспортных</w:t>
      </w:r>
      <w:r>
        <w:rPr>
          <w:spacing w:val="40"/>
        </w:rPr>
        <w:t xml:space="preserve">  </w:t>
      </w:r>
      <w:r>
        <w:t>происшествий</w:t>
      </w:r>
      <w:r>
        <w:rPr>
          <w:spacing w:val="40"/>
        </w:rPr>
        <w:t xml:space="preserve">  </w:t>
      </w:r>
      <w:r>
        <w:t>допущен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 21 муниципальных и городских округов.</w:t>
      </w:r>
    </w:p>
    <w:p w:rsidR="00200B22" w:rsidRDefault="009A7C71">
      <w:pPr>
        <w:pStyle w:val="a3"/>
        <w:spacing w:line="360" w:lineRule="auto"/>
        <w:ind w:left="141" w:right="143" w:firstLine="709"/>
        <w:jc w:val="both"/>
      </w:pPr>
      <w:r>
        <w:t>Отмечается</w:t>
      </w:r>
      <w:r>
        <w:rPr>
          <w:spacing w:val="-1"/>
        </w:rPr>
        <w:t xml:space="preserve"> </w:t>
      </w:r>
      <w:r>
        <w:rPr>
          <w:b/>
        </w:rPr>
        <w:t>уменьшение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15,2%</w:t>
      </w:r>
      <w:r>
        <w:rPr>
          <w:b/>
          <w:spacing w:val="-2"/>
        </w:rPr>
        <w:t xml:space="preserve"> </w:t>
      </w:r>
      <w:r>
        <w:rPr>
          <w:b/>
        </w:rPr>
        <w:t>(с</w:t>
      </w:r>
      <w:r>
        <w:rPr>
          <w:b/>
          <w:spacing w:val="-2"/>
        </w:rPr>
        <w:t xml:space="preserve"> </w:t>
      </w:r>
      <w:r>
        <w:rPr>
          <w:b/>
        </w:rPr>
        <w:t>198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168)</w:t>
      </w:r>
      <w:r>
        <w:rPr>
          <w:b/>
          <w:spacing w:val="-2"/>
        </w:rPr>
        <w:t xml:space="preserve"> </w:t>
      </w: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аварий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 xml:space="preserve">участием детей пешеходов. </w:t>
      </w:r>
      <w:r>
        <w:t xml:space="preserve">Вместе с тем рост подобных ДТП зафиксирован в округах: Арзамас, </w:t>
      </w:r>
      <w:proofErr w:type="spellStart"/>
      <w:r>
        <w:t>Ардатов</w:t>
      </w:r>
      <w:r>
        <w:t>ский</w:t>
      </w:r>
      <w:proofErr w:type="spellEnd"/>
      <w:r>
        <w:t xml:space="preserve">, Бор, </w:t>
      </w:r>
      <w:proofErr w:type="spellStart"/>
      <w:r>
        <w:t>Большемурашкинский</w:t>
      </w:r>
      <w:proofErr w:type="spellEnd"/>
      <w:r>
        <w:t xml:space="preserve">, Ветлужский, Вознесенский, </w:t>
      </w:r>
      <w:proofErr w:type="spellStart"/>
      <w:r>
        <w:t>Гагинский</w:t>
      </w:r>
      <w:proofErr w:type="spellEnd"/>
      <w:r>
        <w:t xml:space="preserve">, Городецкий, Кулебаки, </w:t>
      </w:r>
      <w:proofErr w:type="spellStart"/>
      <w:r>
        <w:t>Лысковский</w:t>
      </w:r>
      <w:proofErr w:type="spellEnd"/>
      <w:r>
        <w:t xml:space="preserve">, Первомайск, </w:t>
      </w:r>
      <w:proofErr w:type="spellStart"/>
      <w:r>
        <w:t>Сокольский</w:t>
      </w:r>
      <w:proofErr w:type="spellEnd"/>
      <w:r>
        <w:t xml:space="preserve">, Сосновский и </w:t>
      </w:r>
      <w:proofErr w:type="spellStart"/>
      <w:r>
        <w:t>Уренский</w:t>
      </w:r>
      <w:proofErr w:type="spellEnd"/>
      <w:r>
        <w:t>. Число автоаварий из-за неосторожного поведения пешеходов</w:t>
      </w:r>
      <w:r>
        <w:rPr>
          <w:spacing w:val="45"/>
          <w:w w:val="150"/>
        </w:rPr>
        <w:t xml:space="preserve"> </w:t>
      </w:r>
      <w:r>
        <w:t>снизилось</w:t>
      </w:r>
      <w:r>
        <w:rPr>
          <w:spacing w:val="45"/>
          <w:w w:val="150"/>
        </w:rPr>
        <w:t xml:space="preserve"> </w:t>
      </w:r>
      <w:r>
        <w:t>на</w:t>
      </w:r>
      <w:r>
        <w:rPr>
          <w:spacing w:val="45"/>
          <w:w w:val="150"/>
        </w:rPr>
        <w:t xml:space="preserve"> </w:t>
      </w:r>
      <w:r>
        <w:t>24,3%</w:t>
      </w:r>
      <w:r>
        <w:rPr>
          <w:spacing w:val="46"/>
          <w:w w:val="150"/>
        </w:rPr>
        <w:t xml:space="preserve"> </w:t>
      </w:r>
      <w:r>
        <w:t>(с</w:t>
      </w:r>
      <w:r>
        <w:rPr>
          <w:spacing w:val="45"/>
          <w:w w:val="150"/>
        </w:rPr>
        <w:t xml:space="preserve"> </w:t>
      </w:r>
      <w:r>
        <w:t>74</w:t>
      </w:r>
      <w:r>
        <w:rPr>
          <w:spacing w:val="45"/>
          <w:w w:val="150"/>
        </w:rPr>
        <w:t xml:space="preserve"> </w:t>
      </w:r>
      <w:r>
        <w:t>до</w:t>
      </w:r>
      <w:r>
        <w:rPr>
          <w:spacing w:val="45"/>
          <w:w w:val="150"/>
        </w:rPr>
        <w:t xml:space="preserve"> </w:t>
      </w:r>
      <w:r>
        <w:t>56),</w:t>
      </w:r>
      <w:r>
        <w:rPr>
          <w:spacing w:val="46"/>
          <w:w w:val="150"/>
        </w:rPr>
        <w:t xml:space="preserve"> </w:t>
      </w:r>
      <w:r>
        <w:t>2</w:t>
      </w:r>
      <w:r>
        <w:rPr>
          <w:spacing w:val="45"/>
          <w:w w:val="150"/>
        </w:rPr>
        <w:t xml:space="preserve"> </w:t>
      </w:r>
      <w:r>
        <w:t>ребенка</w:t>
      </w:r>
      <w:r>
        <w:rPr>
          <w:spacing w:val="45"/>
          <w:w w:val="150"/>
        </w:rPr>
        <w:t xml:space="preserve"> </w:t>
      </w:r>
      <w:r>
        <w:t>погибли</w:t>
      </w:r>
      <w:r>
        <w:t>,</w:t>
      </w:r>
      <w:r>
        <w:rPr>
          <w:spacing w:val="46"/>
          <w:w w:val="150"/>
        </w:rPr>
        <w:t xml:space="preserve"> </w:t>
      </w:r>
      <w:r>
        <w:rPr>
          <w:spacing w:val="-2"/>
        </w:rPr>
        <w:t>пострадали</w:t>
      </w:r>
    </w:p>
    <w:p w:rsidR="00200B22" w:rsidRDefault="009A7C71">
      <w:pPr>
        <w:pStyle w:val="a3"/>
        <w:ind w:left="141"/>
        <w:jc w:val="both"/>
      </w:pPr>
      <w:r>
        <w:t xml:space="preserve">55 </w:t>
      </w:r>
      <w:r>
        <w:rPr>
          <w:spacing w:val="-2"/>
        </w:rPr>
        <w:t>детей.</w:t>
      </w:r>
    </w:p>
    <w:p w:rsidR="00200B22" w:rsidRDefault="009A7C71">
      <w:pPr>
        <w:pStyle w:val="a3"/>
        <w:spacing w:before="161" w:line="360" w:lineRule="auto"/>
        <w:ind w:left="141" w:right="145" w:firstLine="709"/>
        <w:jc w:val="both"/>
      </w:pPr>
      <w:r>
        <w:t>За</w:t>
      </w:r>
      <w:r>
        <w:rPr>
          <w:spacing w:val="80"/>
        </w:rPr>
        <w:t xml:space="preserve"> </w:t>
      </w:r>
      <w:r>
        <w:t>двенадцать</w:t>
      </w:r>
      <w:r>
        <w:rPr>
          <w:spacing w:val="80"/>
        </w:rPr>
        <w:t xml:space="preserve"> </w:t>
      </w:r>
      <w:r>
        <w:t>месяцев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зарегистрировано</w:t>
      </w:r>
      <w:r>
        <w:rPr>
          <w:spacing w:val="80"/>
        </w:rPr>
        <w:t xml:space="preserve"> </w:t>
      </w:r>
      <w:r>
        <w:t>58</w:t>
      </w:r>
      <w:r>
        <w:rPr>
          <w:spacing w:val="80"/>
        </w:rPr>
        <w:t xml:space="preserve"> </w:t>
      </w:r>
      <w:r>
        <w:t>происшествий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безопасных</w:t>
      </w:r>
      <w:r>
        <w:rPr>
          <w:spacing w:val="-11"/>
        </w:rPr>
        <w:t xml:space="preserve"> </w:t>
      </w:r>
      <w:r>
        <w:t>маршрутах</w:t>
      </w:r>
      <w:r>
        <w:rPr>
          <w:spacing w:val="-11"/>
        </w:rPr>
        <w:t xml:space="preserve"> </w:t>
      </w:r>
      <w:r>
        <w:t>«Дом-Школа-Дом».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ДТП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пострадали по своей неосторожности.</w:t>
      </w:r>
    </w:p>
    <w:p w:rsidR="00200B22" w:rsidRDefault="009A7C71">
      <w:pPr>
        <w:pStyle w:val="a3"/>
        <w:spacing w:line="360" w:lineRule="auto"/>
        <w:ind w:left="141" w:right="140" w:firstLine="709"/>
        <w:jc w:val="both"/>
      </w:pPr>
      <w:r>
        <w:t xml:space="preserve">Зафиксировано </w:t>
      </w:r>
      <w:r>
        <w:rPr>
          <w:b/>
        </w:rPr>
        <w:t>216 автоаварий с участием детей-пассажиров</w:t>
      </w:r>
      <w:r>
        <w:t xml:space="preserve">. Рост подобных ДТП зафиксирован в округах: Дзержинск, Саров, </w:t>
      </w:r>
      <w:proofErr w:type="spellStart"/>
      <w:r>
        <w:t>Балахнинский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Вадский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Воротынский, </w:t>
      </w:r>
      <w:proofErr w:type="spellStart"/>
      <w:r>
        <w:t>Гагинский</w:t>
      </w:r>
      <w:proofErr w:type="spellEnd"/>
      <w:r>
        <w:t xml:space="preserve">, Городецкий, </w:t>
      </w:r>
      <w:proofErr w:type="spellStart"/>
      <w:r>
        <w:t>Дальнеконстантиновский</w:t>
      </w:r>
      <w:proofErr w:type="spellEnd"/>
      <w:r>
        <w:t xml:space="preserve">, </w:t>
      </w:r>
      <w:proofErr w:type="spellStart"/>
      <w:r>
        <w:t>Кстовский</w:t>
      </w:r>
      <w:proofErr w:type="spellEnd"/>
      <w:r>
        <w:t xml:space="preserve">, </w:t>
      </w:r>
      <w:proofErr w:type="spellStart"/>
      <w:r>
        <w:t>Перевозский</w:t>
      </w:r>
      <w:proofErr w:type="spellEnd"/>
      <w:r>
        <w:t xml:space="preserve">, </w:t>
      </w:r>
      <w:proofErr w:type="spellStart"/>
      <w:r>
        <w:t>Пильнинский</w:t>
      </w:r>
      <w:proofErr w:type="spellEnd"/>
      <w:r>
        <w:t xml:space="preserve">, </w:t>
      </w:r>
      <w:proofErr w:type="spellStart"/>
      <w:r>
        <w:t>Починковский</w:t>
      </w:r>
      <w:proofErr w:type="spellEnd"/>
      <w:r>
        <w:t xml:space="preserve">, Семеновский, </w:t>
      </w:r>
      <w:proofErr w:type="spellStart"/>
      <w:r>
        <w:t>С</w:t>
      </w:r>
      <w:r>
        <w:t>ергачский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 xml:space="preserve">, Сосновский, Тонкинский, Чкаловск и </w:t>
      </w:r>
      <w:proofErr w:type="spellStart"/>
      <w:r>
        <w:t>Шарангский</w:t>
      </w:r>
      <w:proofErr w:type="spellEnd"/>
      <w:r>
        <w:t>.</w:t>
      </w:r>
    </w:p>
    <w:p w:rsidR="00200B22" w:rsidRDefault="00200B22">
      <w:pPr>
        <w:pStyle w:val="a3"/>
        <w:spacing w:line="360" w:lineRule="auto"/>
        <w:jc w:val="both"/>
        <w:sectPr w:rsidR="00200B22">
          <w:pgSz w:w="11910" w:h="16840"/>
          <w:pgMar w:top="1340" w:right="708" w:bottom="280" w:left="992" w:header="720" w:footer="720" w:gutter="0"/>
          <w:cols w:space="720"/>
        </w:sectPr>
      </w:pPr>
    </w:p>
    <w:p w:rsidR="00200B22" w:rsidRDefault="009A7C71">
      <w:pPr>
        <w:spacing w:before="30"/>
        <w:ind w:left="425" w:right="426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200B22" w:rsidRDefault="009A7C71">
      <w:pPr>
        <w:pStyle w:val="a3"/>
        <w:spacing w:before="268" w:line="360" w:lineRule="auto"/>
        <w:ind w:left="141" w:right="143" w:firstLine="709"/>
        <w:jc w:val="both"/>
      </w:pPr>
      <w:r>
        <w:t>За двенадцать месяцев 2025 года произошло 110 автоаварий с участием несовершеннолетних водителей транспортных средств. В большинстве ДТП несовершеннолетние водители полу</w:t>
      </w:r>
      <w:r>
        <w:t>чили ранения из-за собственного неосторожного поведения.</w:t>
      </w:r>
    </w:p>
    <w:p w:rsidR="00200B22" w:rsidRDefault="009A7C71">
      <w:pPr>
        <w:pStyle w:val="a3"/>
        <w:spacing w:line="360" w:lineRule="auto"/>
        <w:ind w:left="141" w:right="140" w:firstLine="709"/>
        <w:jc w:val="both"/>
      </w:pPr>
      <w:r>
        <w:t>Количество</w:t>
      </w:r>
      <w:r>
        <w:rPr>
          <w:spacing w:val="40"/>
        </w:rPr>
        <w:t xml:space="preserve"> </w:t>
      </w:r>
      <w:r>
        <w:t>ДТП</w:t>
      </w:r>
      <w:r>
        <w:rPr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неосторожности</w:t>
      </w:r>
      <w:r>
        <w:rPr>
          <w:b/>
          <w:spacing w:val="40"/>
        </w:rPr>
        <w:t xml:space="preserve"> </w:t>
      </w:r>
      <w:r>
        <w:rPr>
          <w:b/>
        </w:rPr>
        <w:t>детей</w:t>
      </w:r>
      <w:r>
        <w:rPr>
          <w:b/>
          <w:spacing w:val="40"/>
        </w:rPr>
        <w:t xml:space="preserve"> </w:t>
      </w:r>
      <w:r>
        <w:rPr>
          <w:b/>
        </w:rPr>
        <w:t>снизилось</w:t>
      </w:r>
      <w:r>
        <w:rPr>
          <w:b/>
          <w:spacing w:val="40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7,9%.</w:t>
      </w:r>
      <w:r>
        <w:rPr>
          <w:b/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 xml:space="preserve">с тем рост подобных происшествий наблюдается в округах: </w:t>
      </w:r>
      <w:proofErr w:type="spellStart"/>
      <w:r>
        <w:t>Ардатовский</w:t>
      </w:r>
      <w:proofErr w:type="spellEnd"/>
      <w:r>
        <w:t xml:space="preserve">, Богородский, </w:t>
      </w:r>
      <w:proofErr w:type="spellStart"/>
      <w:r>
        <w:t>Большемурашкинский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Ветлужский, Вознесенский, Володарский, Городецкий, </w:t>
      </w:r>
      <w:proofErr w:type="spellStart"/>
      <w:r>
        <w:t>Ковернинский</w:t>
      </w:r>
      <w:proofErr w:type="spellEnd"/>
      <w:r>
        <w:t xml:space="preserve">, Кулебаки, Первомайск, </w:t>
      </w:r>
      <w:proofErr w:type="spellStart"/>
      <w:r>
        <w:t>Починковский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 xml:space="preserve">, </w:t>
      </w:r>
      <w:proofErr w:type="spellStart"/>
      <w:r>
        <w:t>Сокольский</w:t>
      </w:r>
      <w:proofErr w:type="spellEnd"/>
      <w:r>
        <w:t xml:space="preserve">, Сосновский, Тонкинский и </w:t>
      </w:r>
      <w:proofErr w:type="spellStart"/>
      <w:r>
        <w:t>Шарангский</w:t>
      </w:r>
      <w:proofErr w:type="spellEnd"/>
      <w:r>
        <w:t>.</w:t>
      </w:r>
    </w:p>
    <w:p w:rsidR="00200B22" w:rsidRDefault="009A7C71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3481626</wp:posOffset>
                </wp:positionH>
                <wp:positionV relativeFrom="paragraph">
                  <wp:posOffset>200647</wp:posOffset>
                </wp:positionV>
                <wp:extent cx="124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5ECD" id="Graphic 12" o:spid="_x0000_s1026" style="position:absolute;margin-left:274.15pt;margin-top:15.8pt;width:9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" path="m,l1244600,e" filled="f" strokeweight=".56pt">
                <v:path arrowok="t"/>
                <w10:wrap type="topAndBottom" anchorx="page"/>
              </v:shape>
            </w:pict>
          </mc:Fallback>
        </mc:AlternateContent>
      </w:r>
    </w:p>
    <w:sectPr w:rsidR="00200B22">
      <w:pgSz w:w="11910" w:h="16840"/>
      <w:pgMar w:top="6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05D5D"/>
    <w:multiLevelType w:val="hybridMultilevel"/>
    <w:tmpl w:val="05389E6A"/>
    <w:lvl w:ilvl="0" w:tplc="E9E0DA48">
      <w:start w:val="1"/>
      <w:numFmt w:val="decimal"/>
      <w:lvlText w:val="%1."/>
      <w:lvlJc w:val="left"/>
      <w:pPr>
        <w:ind w:left="426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1A5530">
      <w:numFmt w:val="bullet"/>
      <w:lvlText w:val="-"/>
      <w:lvlJc w:val="left"/>
      <w:pPr>
        <w:ind w:left="42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C0DFF8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B006647C">
      <w:numFmt w:val="bullet"/>
      <w:lvlText w:val="•"/>
      <w:lvlJc w:val="left"/>
      <w:pPr>
        <w:ind w:left="3355" w:hanging="281"/>
      </w:pPr>
      <w:rPr>
        <w:rFonts w:hint="default"/>
        <w:lang w:val="ru-RU" w:eastAsia="en-US" w:bidi="ar-SA"/>
      </w:rPr>
    </w:lvl>
    <w:lvl w:ilvl="4" w:tplc="4A8C44C8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197643A0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A6CEC06A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581A5D42">
      <w:numFmt w:val="bullet"/>
      <w:lvlText w:val="•"/>
      <w:lvlJc w:val="left"/>
      <w:pPr>
        <w:ind w:left="7270" w:hanging="281"/>
      </w:pPr>
      <w:rPr>
        <w:rFonts w:hint="default"/>
        <w:lang w:val="ru-RU" w:eastAsia="en-US" w:bidi="ar-SA"/>
      </w:rPr>
    </w:lvl>
    <w:lvl w:ilvl="8" w:tplc="2160DE84">
      <w:numFmt w:val="bullet"/>
      <w:lvlText w:val="•"/>
      <w:lvlJc w:val="left"/>
      <w:pPr>
        <w:ind w:left="8248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0B22"/>
    <w:rsid w:val="00200B22"/>
    <w:rsid w:val="009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DB150-314F-4108-84D3-25EE7F34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"/>
      <w:ind w:left="745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25" w:right="5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2026-01-23T12:40:00Z</dcterms:created>
  <dcterms:modified xsi:type="dcterms:W3CDTF">2026-01-26T08:58:00Z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